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4F429" w14:textId="77777777" w:rsidR="00CE2B28" w:rsidRDefault="00000000" w:rsidP="0082711F">
      <w:pPr>
        <w:spacing w:after="360" w:line="300" w:lineRule="auto"/>
        <w:jc w:val="both"/>
      </w:pPr>
      <w:r>
        <w:rPr>
          <w:b/>
          <w:bCs/>
        </w:rPr>
        <w:t>AL TRIBUNAL CALIFICADOR ÚNICO DEL PROCESO SELECTIVO PARA INGRESO, POR EL SISTEMA GENERAL DE ACCESO LIBRE, EN EL CUERPO DE GESTIÓN PROCESAL Y ADMINISTRATIVA DE LA ADMINISTRACIÓN DE JUSTICIA, CONVOCADO POR ORDEN PJC/1549/2025, DE 22 DE DICIEMBRE (BOE NÚM. 314, DE 30 DE DICIEMBRE DE 2025)</w:t>
      </w:r>
    </w:p>
    <w:p w14:paraId="0EB7C880" w14:textId="77777777" w:rsidR="00CE2B28" w:rsidRDefault="00000000" w:rsidP="0082711F">
      <w:pPr>
        <w:spacing w:after="200" w:line="300" w:lineRule="auto"/>
        <w:jc w:val="both"/>
      </w:pPr>
      <w:r>
        <w:t>D./</w:t>
      </w:r>
      <w:proofErr w:type="gramStart"/>
      <w:r>
        <w:t>D.ª</w:t>
      </w:r>
      <w:proofErr w:type="gramEnd"/>
      <w:r>
        <w:t xml:space="preserve"> [NOMBRE Y APELLIDOS], con DNI [NÚMERO], domicilio a efectos de notificaciones en [DOMICILIO], correo electrónico [CORREO] y teléfono [TELÉFONO], aspirante en el citado proceso selectivo, que realizó el primer ejercicio el 3 de octubre de 2026 con el cuadernillo </w:t>
      </w:r>
      <w:r>
        <w:rPr>
          <w:b/>
          <w:bCs/>
        </w:rPr>
        <w:t>[MODELO A / MODELO B]</w:t>
      </w:r>
      <w:r>
        <w:t xml:space="preserve"> (táchese lo que no proceda), ante este Tribunal comparece y, como mejor proceda en Derecho, </w:t>
      </w:r>
      <w:r>
        <w:rPr>
          <w:b/>
          <w:bCs/>
        </w:rPr>
        <w:t>DICE</w:t>
      </w:r>
      <w:r>
        <w:t>:</w:t>
      </w:r>
    </w:p>
    <w:p w14:paraId="3B9396DD" w14:textId="77777777" w:rsidR="00CE2B28" w:rsidRDefault="00000000" w:rsidP="0082711F">
      <w:pPr>
        <w:spacing w:after="200" w:line="300" w:lineRule="auto"/>
        <w:jc w:val="both"/>
      </w:pPr>
      <w:r>
        <w:t>Que por Acuerdo de este Tribunal de [FECHA DEL ACUERDO] se publicaron las plantillas provisionales de respuestas del primer ejercicio, concediéndose un plazo para formular alegaciones, dentro del cual se presenta este escrito.</w:t>
      </w:r>
    </w:p>
    <w:p w14:paraId="280F7740" w14:textId="77777777" w:rsidR="00CE2B28" w:rsidRDefault="00000000" w:rsidP="0082711F">
      <w:pPr>
        <w:spacing w:after="300" w:line="300" w:lineRule="auto"/>
        <w:jc w:val="both"/>
      </w:pPr>
      <w:r>
        <w:t xml:space="preserve">Que formula la siguiente </w:t>
      </w:r>
      <w:r>
        <w:rPr>
          <w:b/>
          <w:bCs/>
        </w:rPr>
        <w:t>ALEGACIÓN</w:t>
      </w:r>
      <w:r>
        <w:t>, referida a una pregunta que tiene el mismo enunciado y las mismas opciones, en el mismo orden, en ambos modelos de cuadernillo:</w:t>
      </w:r>
    </w:p>
    <w:p w14:paraId="745E995B" w14:textId="77777777" w:rsidR="00CE2B28" w:rsidRDefault="00000000" w:rsidP="0082711F">
      <w:pPr>
        <w:spacing w:after="160" w:line="300" w:lineRule="auto"/>
        <w:jc w:val="both"/>
      </w:pPr>
      <w:r>
        <w:rPr>
          <w:b/>
          <w:bCs/>
        </w:rPr>
        <w:t>ÚNICA. Pregunta 3 del modelo A y pregunta 96 del modelo B (primer ejercicio)</w:t>
      </w:r>
    </w:p>
    <w:p w14:paraId="6C2E205B" w14:textId="77777777" w:rsidR="00CE2B28" w:rsidRDefault="00000000" w:rsidP="0082711F">
      <w:pPr>
        <w:spacing w:after="200" w:line="300" w:lineRule="auto"/>
        <w:jc w:val="both"/>
      </w:pPr>
      <w:r>
        <w:rPr>
          <w:b/>
          <w:bCs/>
        </w:rPr>
        <w:t xml:space="preserve">Enunciado: </w:t>
      </w:r>
      <w:r>
        <w:rPr>
          <w:i/>
          <w:iCs/>
        </w:rPr>
        <w:t xml:space="preserve">«La Sala de lo Penal del Tribunal Supremo no conocerá de la instrucción y enjuiciamiento de las causas contra: a) Vocales del Consejo General del Poder Judicial. b) Adjuntos del Defensor del Pueblo. c) </w:t>
      </w:r>
      <w:proofErr w:type="gramStart"/>
      <w:r>
        <w:rPr>
          <w:i/>
          <w:iCs/>
        </w:rPr>
        <w:t>Consejeros</w:t>
      </w:r>
      <w:proofErr w:type="gramEnd"/>
      <w:r>
        <w:rPr>
          <w:i/>
          <w:iCs/>
        </w:rPr>
        <w:t xml:space="preserve"> del Consejo de Estado. d) Fiscales europeos delegados.»</w:t>
      </w:r>
    </w:p>
    <w:p w14:paraId="409C3D44" w14:textId="77777777" w:rsidR="00CE2B28" w:rsidRDefault="00000000" w:rsidP="0082711F">
      <w:pPr>
        <w:spacing w:after="200" w:line="300" w:lineRule="auto"/>
        <w:jc w:val="both"/>
      </w:pPr>
      <w:r>
        <w:rPr>
          <w:b/>
          <w:bCs/>
        </w:rPr>
        <w:t xml:space="preserve">Respuesta de la plantilla provisional: </w:t>
      </w:r>
      <w:r>
        <w:t>B (Adjuntos del Defensor del Pueblo), en ambos modelos.</w:t>
      </w:r>
    </w:p>
    <w:p w14:paraId="44E73D6F" w14:textId="77777777" w:rsidR="00CE2B28" w:rsidRDefault="00000000" w:rsidP="0082711F">
      <w:pPr>
        <w:spacing w:after="200" w:line="300" w:lineRule="auto"/>
        <w:jc w:val="both"/>
      </w:pPr>
      <w:r>
        <w:rPr>
          <w:b/>
          <w:bCs/>
        </w:rPr>
        <w:t xml:space="preserve">Pretensión: </w:t>
      </w:r>
      <w:r>
        <w:t>anulación de la pregunta.</w:t>
      </w:r>
    </w:p>
    <w:p w14:paraId="762C9C18" w14:textId="5E6813B1" w:rsidR="00CE2B28" w:rsidRDefault="00000000" w:rsidP="0082711F">
      <w:pPr>
        <w:spacing w:after="200" w:line="300" w:lineRule="auto"/>
        <w:jc w:val="both"/>
      </w:pPr>
      <w:r>
        <w:t>El enunciado pide identificar un colectivo cuyas causas penales no corresponda instruir y enjuiciar a la Sala de lo Penal del Tribunal Supremo</w:t>
      </w:r>
      <w:r w:rsidR="0082711F">
        <w:t xml:space="preserve"> sin hacer referencia a la LOPJ y artículo específico</w:t>
      </w:r>
      <w:r>
        <w:t>. Sin embargo, la Sala de lo Penal del Tribunal Supremo es competente respecto de los cuatro colectivos que figuran en las opciones:</w:t>
      </w:r>
    </w:p>
    <w:p w14:paraId="286D3D94" w14:textId="77777777" w:rsidR="00CE2B28" w:rsidRDefault="00000000" w:rsidP="0082711F">
      <w:pPr>
        <w:spacing w:after="200" w:line="300" w:lineRule="auto"/>
        <w:ind w:left="567"/>
        <w:jc w:val="both"/>
      </w:pPr>
      <w:r>
        <w:rPr>
          <w:b/>
          <w:bCs/>
        </w:rPr>
        <w:t>a) Vocales del Consejo General del Poder Judicial</w:t>
      </w:r>
      <w:r>
        <w:t>: artículo 57.</w:t>
      </w:r>
      <w:proofErr w:type="gramStart"/>
      <w:r>
        <w:t>1.2.º</w:t>
      </w:r>
      <w:proofErr w:type="gramEnd"/>
      <w:r>
        <w:t xml:space="preserve"> de la Ley Orgánica 6/1985, de 1 de julio, del Poder Judicial (LOPJ).</w:t>
      </w:r>
    </w:p>
    <w:p w14:paraId="01E03029" w14:textId="77777777" w:rsidR="00CE2B28" w:rsidRDefault="00000000" w:rsidP="0082711F">
      <w:pPr>
        <w:spacing w:after="200" w:line="300" w:lineRule="auto"/>
        <w:ind w:left="567"/>
        <w:jc w:val="both"/>
      </w:pPr>
      <w:r>
        <w:rPr>
          <w:b/>
          <w:bCs/>
        </w:rPr>
        <w:t xml:space="preserve">c) </w:t>
      </w:r>
      <w:proofErr w:type="gramStart"/>
      <w:r>
        <w:rPr>
          <w:b/>
          <w:bCs/>
        </w:rPr>
        <w:t>Consejeros</w:t>
      </w:r>
      <w:proofErr w:type="gramEnd"/>
      <w:r>
        <w:rPr>
          <w:b/>
          <w:bCs/>
        </w:rPr>
        <w:t xml:space="preserve"> del Consejo de Estado</w:t>
      </w:r>
      <w:r>
        <w:t>: artículo 57.</w:t>
      </w:r>
      <w:proofErr w:type="gramStart"/>
      <w:r>
        <w:t>1.2.º</w:t>
      </w:r>
      <w:proofErr w:type="gramEnd"/>
      <w:r>
        <w:t xml:space="preserve"> LOPJ, que se refiere al «</w:t>
      </w:r>
      <w:proofErr w:type="gramStart"/>
      <w:r>
        <w:t>Presidente</w:t>
      </w:r>
      <w:proofErr w:type="gramEnd"/>
      <w:r>
        <w:t xml:space="preserve"> y </w:t>
      </w:r>
      <w:proofErr w:type="gramStart"/>
      <w:r>
        <w:t>Consejeros</w:t>
      </w:r>
      <w:proofErr w:type="gramEnd"/>
      <w:r>
        <w:t xml:space="preserve"> del Consejo de Estado».</w:t>
      </w:r>
    </w:p>
    <w:p w14:paraId="10A43CC2" w14:textId="77777777" w:rsidR="00CE2B28" w:rsidRDefault="00000000" w:rsidP="0082711F">
      <w:pPr>
        <w:spacing w:after="200" w:line="300" w:lineRule="auto"/>
        <w:ind w:left="567"/>
        <w:jc w:val="both"/>
      </w:pPr>
      <w:r>
        <w:rPr>
          <w:b/>
          <w:bCs/>
        </w:rPr>
        <w:t>d) Fiscales europeos delegados</w:t>
      </w:r>
      <w:r>
        <w:t>: artículo 57.</w:t>
      </w:r>
      <w:proofErr w:type="gramStart"/>
      <w:r>
        <w:t>1.3.º</w:t>
      </w:r>
      <w:proofErr w:type="gramEnd"/>
      <w:r>
        <w:t xml:space="preserve"> LOPJ.</w:t>
      </w:r>
    </w:p>
    <w:p w14:paraId="07BBAA3C" w14:textId="77777777" w:rsidR="00CE2B28" w:rsidRDefault="00000000" w:rsidP="0082711F">
      <w:pPr>
        <w:spacing w:after="200" w:line="300" w:lineRule="auto"/>
        <w:ind w:left="567"/>
        <w:jc w:val="both"/>
      </w:pPr>
      <w:r>
        <w:rPr>
          <w:b/>
          <w:bCs/>
        </w:rPr>
        <w:lastRenderedPageBreak/>
        <w:t>b) Adjuntos del Defensor del Pueblo</w:t>
      </w:r>
      <w:r>
        <w:t xml:space="preserve">: el artículo 6.3 de la Ley Orgánica 3/1981, de 6 de abril, del Defensor del Pueblo, atribuye </w:t>
      </w:r>
      <w:r>
        <w:rPr>
          <w:i/>
          <w:iCs/>
        </w:rPr>
        <w:t>«exclusivamente a la Sala de lo Penal del Tribunal Supremo»</w:t>
      </w:r>
      <w:r>
        <w:t xml:space="preserve"> la decisión sobre la inculpación, prisión, procesamiento y juicio del Defensor del Pueblo, y el artículo 6.4 de la misma ley extiende expresamente este régimen a los Adjuntos del Defensor del Pueblo en el cumplimiento de sus funciones.</w:t>
      </w:r>
    </w:p>
    <w:p w14:paraId="457E7C6A" w14:textId="77777777" w:rsidR="00CE2B28" w:rsidRDefault="00000000" w:rsidP="0082711F">
      <w:pPr>
        <w:spacing w:after="200" w:line="300" w:lineRule="auto"/>
        <w:jc w:val="both"/>
      </w:pPr>
      <w:r>
        <w:t>El hecho de que los Adjuntos no aparezcan en la relación del artículo 57 LOPJ no significa que la Sala de lo Penal del Tribunal Supremo no conozca de las causas contra ellos. Su aforamiento está establecido por una ley orgánica específica, la LO 3/1981, que la LOPJ no deroga ni contradice. El enunciado, además, no limita la pregunta a lo dispuesto en la LOPJ: pregunta en términos generales de qué causas no conoce la Sala de lo Penal del Tribunal Supremo, por lo que debe atenderse al conjunto del ordenamiento.</w:t>
      </w:r>
    </w:p>
    <w:p w14:paraId="2077C653" w14:textId="77777777" w:rsidR="00CE2B28" w:rsidRDefault="00000000" w:rsidP="0082711F">
      <w:pPr>
        <w:spacing w:after="300" w:line="300" w:lineRule="auto"/>
        <w:jc w:val="both"/>
      </w:pPr>
      <w:r>
        <w:t xml:space="preserve">En consecuencia, la opción b) que la plantilla da por correcta afirma algo contrario a lo dispuesto en el artículo 6.3 y 6.4 de la LO 3/1981, y ninguna de las cuatro opciones responde correctamente al enunciado. La pregunta carece de respuesta válida y procede su </w:t>
      </w:r>
      <w:r>
        <w:rPr>
          <w:b/>
          <w:bCs/>
        </w:rPr>
        <w:t>anulación</w:t>
      </w:r>
      <w:r>
        <w:t>, con su sustitución por la pregunta de reserva que corresponda, conforme a lo previsto en la Orden de convocatoria.</w:t>
      </w:r>
    </w:p>
    <w:p w14:paraId="2E00337F" w14:textId="77777777" w:rsidR="00CE2B28" w:rsidRDefault="00000000" w:rsidP="0082711F">
      <w:pPr>
        <w:spacing w:after="160" w:line="300" w:lineRule="auto"/>
        <w:jc w:val="both"/>
      </w:pPr>
      <w:r>
        <w:rPr>
          <w:b/>
          <w:bCs/>
        </w:rPr>
        <w:t>FUNDAMENTOS DE DERECHO</w:t>
      </w:r>
    </w:p>
    <w:p w14:paraId="58C464B4" w14:textId="77777777" w:rsidR="00CE2B28" w:rsidRDefault="00000000" w:rsidP="0082711F">
      <w:pPr>
        <w:spacing w:after="200" w:line="300" w:lineRule="auto"/>
        <w:jc w:val="both"/>
      </w:pPr>
      <w:r>
        <w:t>El acceso a la función pública se rige por los principios de igualdad, mérito y capacidad (artículos 23.2 y 103.3 de la Constitución). Una prueba tipo test con respuesta única solo mide el mérito y la capacidad de los aspirantes si cada pregunta tiene una única respuesta correcta, inequívoca y ajustada a la norma.</w:t>
      </w:r>
    </w:p>
    <w:p w14:paraId="015837DE" w14:textId="77777777" w:rsidR="00CE2B28" w:rsidRDefault="00000000" w:rsidP="0082711F">
      <w:pPr>
        <w:spacing w:after="200" w:line="300" w:lineRule="auto"/>
        <w:jc w:val="both"/>
      </w:pPr>
      <w:r>
        <w:t>La discrecionalidad técnica de los órganos de selección no ampara el error patente. Cuando la respuesta dada por válida contradice el texto literal de una ley orgánica en vigor, la corrección de la pregunta deja de ser una cuestión de apreciación técnica y pasa a ser un error objetivo y verificable, contrario a los principios de seguridad jurídica e interdicción de la arbitrariedad (artículo 9.3 de la Constitución).</w:t>
      </w:r>
    </w:p>
    <w:p w14:paraId="3063F765" w14:textId="4793DC36" w:rsidR="00CE2B28" w:rsidRDefault="00000000" w:rsidP="0082711F">
      <w:pPr>
        <w:spacing w:after="300" w:line="300" w:lineRule="auto"/>
        <w:jc w:val="both"/>
      </w:pPr>
      <w:r>
        <w:t>La Orden de convocatoria</w:t>
      </w:r>
      <w:r w:rsidR="0082711F">
        <w:t xml:space="preserve"> ut supra</w:t>
      </w:r>
      <w:r>
        <w:t xml:space="preserve"> prevé preguntas de reserva para sustituir a las que resulten anuladas, por lo que la anulación solicitada no altera el número de preguntas evaluadas ni la estructura de la prueba.</w:t>
      </w:r>
    </w:p>
    <w:p w14:paraId="0616BCEE" w14:textId="77777777" w:rsidR="00CE2B28" w:rsidRDefault="00000000" w:rsidP="0082711F">
      <w:pPr>
        <w:spacing w:after="200" w:line="300" w:lineRule="auto"/>
        <w:jc w:val="both"/>
      </w:pPr>
      <w:r>
        <w:t>En virtud de lo expuesto,</w:t>
      </w:r>
    </w:p>
    <w:p w14:paraId="315AB045" w14:textId="77777777" w:rsidR="00CE2B28" w:rsidRDefault="00000000" w:rsidP="0082711F">
      <w:pPr>
        <w:spacing w:after="480" w:line="300" w:lineRule="auto"/>
        <w:jc w:val="both"/>
      </w:pPr>
      <w:r>
        <w:rPr>
          <w:b/>
          <w:bCs/>
        </w:rPr>
        <w:t>SOLICITA</w:t>
      </w:r>
      <w:r>
        <w:t xml:space="preserve"> al Tribunal Calificador Único que tenga por presentado este escrito en tiempo y forma, admita la alegación formulada y, en su virtud, acuerde en la plantilla definitiva de respuestas la anulación de la pregunta </w:t>
      </w:r>
      <w:r>
        <w:rPr>
          <w:b/>
          <w:bCs/>
        </w:rPr>
        <w:t>3 del modelo A y 96 del modelo B</w:t>
      </w:r>
      <w:r>
        <w:t xml:space="preserve"> del primer ejercicio, con su sustitución por la pregunta de reserva que corresponda conforme a la Orden PJC/1549/2025.</w:t>
      </w:r>
    </w:p>
    <w:p w14:paraId="7F2912EE" w14:textId="77777777" w:rsidR="00CE2B28" w:rsidRDefault="00000000" w:rsidP="0082711F">
      <w:pPr>
        <w:spacing w:after="720" w:line="300" w:lineRule="auto"/>
        <w:jc w:val="both"/>
      </w:pPr>
      <w:r>
        <w:lastRenderedPageBreak/>
        <w:t>En [LOCALIDAD], a [FECHA].</w:t>
      </w:r>
    </w:p>
    <w:p w14:paraId="65C81E12" w14:textId="77777777" w:rsidR="00CE2B28" w:rsidRDefault="00000000" w:rsidP="0082711F">
      <w:pPr>
        <w:spacing w:after="200" w:line="300" w:lineRule="auto"/>
        <w:jc w:val="both"/>
      </w:pPr>
      <w:r>
        <w:t>Fdo.: [NOMBRE Y APELLIDOS]</w:t>
      </w:r>
    </w:p>
    <w:sectPr w:rsidR="00CE2B28">
      <w:pgSz w:w="11906" w:h="16838"/>
      <w:pgMar w:top="1418" w:right="1418" w:bottom="1418"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D21B17"/>
    <w:multiLevelType w:val="hybridMultilevel"/>
    <w:tmpl w:val="01C05EDC"/>
    <w:lvl w:ilvl="0" w:tplc="941C6640">
      <w:start w:val="1"/>
      <w:numFmt w:val="decimal"/>
      <w:lvlText w:val="%1."/>
      <w:lvlJc w:val="left"/>
      <w:pPr>
        <w:ind w:left="720" w:hanging="360"/>
      </w:pPr>
    </w:lvl>
    <w:lvl w:ilvl="1" w:tplc="29248EB4">
      <w:numFmt w:val="decimal"/>
      <w:lvlText w:val=""/>
      <w:lvlJc w:val="left"/>
    </w:lvl>
    <w:lvl w:ilvl="2" w:tplc="02EC72B4">
      <w:numFmt w:val="decimal"/>
      <w:lvlText w:val=""/>
      <w:lvlJc w:val="left"/>
    </w:lvl>
    <w:lvl w:ilvl="3" w:tplc="FBDCADCE">
      <w:numFmt w:val="decimal"/>
      <w:lvlText w:val=""/>
      <w:lvlJc w:val="left"/>
    </w:lvl>
    <w:lvl w:ilvl="4" w:tplc="676650E4">
      <w:numFmt w:val="decimal"/>
      <w:lvlText w:val=""/>
      <w:lvlJc w:val="left"/>
    </w:lvl>
    <w:lvl w:ilvl="5" w:tplc="BDD65DBA">
      <w:numFmt w:val="decimal"/>
      <w:lvlText w:val=""/>
      <w:lvlJc w:val="left"/>
    </w:lvl>
    <w:lvl w:ilvl="6" w:tplc="28BE7A3C">
      <w:numFmt w:val="decimal"/>
      <w:lvlText w:val=""/>
      <w:lvlJc w:val="left"/>
    </w:lvl>
    <w:lvl w:ilvl="7" w:tplc="E14EFA42">
      <w:numFmt w:val="decimal"/>
      <w:lvlText w:val=""/>
      <w:lvlJc w:val="left"/>
    </w:lvl>
    <w:lvl w:ilvl="8" w:tplc="604477C2">
      <w:numFmt w:val="decimal"/>
      <w:lvlText w:val=""/>
      <w:lvlJc w:val="left"/>
    </w:lvl>
  </w:abstractNum>
  <w:abstractNum w:abstractNumId="1" w15:restartNumberingAfterBreak="0">
    <w:nsid w:val="5827252B"/>
    <w:multiLevelType w:val="hybridMultilevel"/>
    <w:tmpl w:val="358A3B58"/>
    <w:lvl w:ilvl="0" w:tplc="F5C63DF8">
      <w:start w:val="1"/>
      <w:numFmt w:val="bullet"/>
      <w:lvlText w:val="●"/>
      <w:lvlJc w:val="left"/>
      <w:pPr>
        <w:ind w:left="720" w:hanging="360"/>
      </w:pPr>
    </w:lvl>
    <w:lvl w:ilvl="1" w:tplc="B372885C">
      <w:start w:val="1"/>
      <w:numFmt w:val="bullet"/>
      <w:lvlText w:val="○"/>
      <w:lvlJc w:val="left"/>
      <w:pPr>
        <w:ind w:left="1440" w:hanging="360"/>
      </w:pPr>
    </w:lvl>
    <w:lvl w:ilvl="2" w:tplc="B1DA684C">
      <w:start w:val="1"/>
      <w:numFmt w:val="bullet"/>
      <w:lvlText w:val="■"/>
      <w:lvlJc w:val="left"/>
      <w:pPr>
        <w:ind w:left="2160" w:hanging="360"/>
      </w:pPr>
    </w:lvl>
    <w:lvl w:ilvl="3" w:tplc="968A9C8C">
      <w:start w:val="1"/>
      <w:numFmt w:val="bullet"/>
      <w:lvlText w:val="●"/>
      <w:lvlJc w:val="left"/>
      <w:pPr>
        <w:ind w:left="2880" w:hanging="360"/>
      </w:pPr>
    </w:lvl>
    <w:lvl w:ilvl="4" w:tplc="461E397E">
      <w:start w:val="1"/>
      <w:numFmt w:val="bullet"/>
      <w:lvlText w:val="○"/>
      <w:lvlJc w:val="left"/>
      <w:pPr>
        <w:ind w:left="3600" w:hanging="360"/>
      </w:pPr>
    </w:lvl>
    <w:lvl w:ilvl="5" w:tplc="29B0C87A">
      <w:start w:val="1"/>
      <w:numFmt w:val="bullet"/>
      <w:lvlText w:val="■"/>
      <w:lvlJc w:val="left"/>
      <w:pPr>
        <w:ind w:left="4320" w:hanging="360"/>
      </w:pPr>
    </w:lvl>
    <w:lvl w:ilvl="6" w:tplc="63866BCC">
      <w:start w:val="1"/>
      <w:numFmt w:val="bullet"/>
      <w:lvlText w:val="●"/>
      <w:lvlJc w:val="left"/>
      <w:pPr>
        <w:ind w:left="5040" w:hanging="360"/>
      </w:pPr>
    </w:lvl>
    <w:lvl w:ilvl="7" w:tplc="0012026C">
      <w:start w:val="1"/>
      <w:numFmt w:val="bullet"/>
      <w:lvlText w:val="●"/>
      <w:lvlJc w:val="left"/>
      <w:pPr>
        <w:ind w:left="5760" w:hanging="360"/>
      </w:pPr>
    </w:lvl>
    <w:lvl w:ilvl="8" w:tplc="5DA2A9D2">
      <w:start w:val="1"/>
      <w:numFmt w:val="bullet"/>
      <w:lvlText w:val="●"/>
      <w:lvlJc w:val="left"/>
      <w:pPr>
        <w:ind w:left="6480" w:hanging="360"/>
      </w:pPr>
    </w:lvl>
  </w:abstractNum>
  <w:num w:numId="1" w16cid:durableId="170590662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B28"/>
    <w:rsid w:val="004F4D7E"/>
    <w:rsid w:val="0082711F"/>
    <w:rsid w:val="00CE2B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ABF1FBB"/>
  <w15:docId w15:val="{BA571AA2-56E1-1748-AA34-C57219F99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812</Words>
  <Characters>4150</Characters>
  <Application>Microsoft Office Word</Application>
  <DocSecurity>0</DocSecurity>
  <Lines>70</Lines>
  <Paragraphs>27</Paragraphs>
  <ScaleCrop>false</ScaleCrop>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Invention is the Future LLC</cp:lastModifiedBy>
  <cp:revision>2</cp:revision>
  <dcterms:created xsi:type="dcterms:W3CDTF">2026-10-07T12:03:00Z</dcterms:created>
  <dcterms:modified xsi:type="dcterms:W3CDTF">2026-10-07T12:08:00Z</dcterms:modified>
</cp:coreProperties>
</file>