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A557C4" w14:textId="77777777" w:rsidR="00FA001C" w:rsidRDefault="00000000" w:rsidP="00431ED5">
      <w:pPr>
        <w:jc w:val="both"/>
        <w:rPr>
          <w:b/>
          <w:lang w:val="es-ES"/>
        </w:rPr>
      </w:pPr>
      <w:r w:rsidRPr="00694ABE">
        <w:rPr>
          <w:b/>
          <w:lang w:val="es-ES"/>
        </w:rPr>
        <w:t>AL TRIBUNAL CALIFICADOR ÚNICO DEL PROCESO SELECTIVO PARA INGRESO, POR EL SISTEMA GENERAL DE ACCESO LIBRE, EN EL CUERPO DE TRAMITACIÓN PROCESAL Y ADMINISTRATIVA DE LA ADMINISTRACIÓN DE JUSTICIA, CONVOCADO POR ORDEN PJC/1549/2025, DE 22 DE DICIEMBRE (BOE NÚM. 314, DE 30 DE DICIEMBRE DE 2025)</w:t>
      </w:r>
    </w:p>
    <w:p w14:paraId="070B9FEF" w14:textId="77777777" w:rsidR="00431ED5" w:rsidRPr="00694ABE" w:rsidRDefault="00431ED5" w:rsidP="00431ED5">
      <w:pPr>
        <w:jc w:val="both"/>
        <w:rPr>
          <w:lang w:val="es-ES"/>
        </w:rPr>
      </w:pPr>
    </w:p>
    <w:p w14:paraId="7D24EBCA" w14:textId="77777777" w:rsidR="00FA001C" w:rsidRPr="00694ABE" w:rsidRDefault="00000000" w:rsidP="00431ED5">
      <w:pPr>
        <w:jc w:val="both"/>
        <w:rPr>
          <w:lang w:val="es-ES"/>
        </w:rPr>
      </w:pPr>
      <w:r w:rsidRPr="00694ABE">
        <w:rPr>
          <w:lang w:val="es-ES"/>
        </w:rPr>
        <w:t>D./</w:t>
      </w:r>
      <w:proofErr w:type="gramStart"/>
      <w:r w:rsidRPr="00694ABE">
        <w:rPr>
          <w:lang w:val="es-ES"/>
        </w:rPr>
        <w:t>D.ª</w:t>
      </w:r>
      <w:proofErr w:type="gramEnd"/>
      <w:r w:rsidRPr="00694ABE">
        <w:rPr>
          <w:lang w:val="es-ES"/>
        </w:rPr>
        <w:t xml:space="preserve"> [NOMBRE Y APELLIDOS], con DNI [NÚMERO], domicilio a efectos de notificaciones en [DOMICILIO], correo electrónico [CORREO] y teléfono [TELÉFONO], aspirante en el citado proceso selectivo, que realizó los ejercicios del 3 de octubre de 2026 con el cuadernillo [táchese lo que no proceda] </w:t>
      </w:r>
      <w:r w:rsidRPr="00694ABE">
        <w:rPr>
          <w:b/>
          <w:lang w:val="es-ES"/>
        </w:rPr>
        <w:t>Tipo A (Rojo) / Tipo B (Verde)</w:t>
      </w:r>
      <w:r w:rsidRPr="00694ABE">
        <w:rPr>
          <w:lang w:val="es-ES"/>
        </w:rPr>
        <w:t xml:space="preserve">, ante este Tribunal comparece y, como mejor proceda en Derecho, </w:t>
      </w:r>
      <w:r w:rsidRPr="00694ABE">
        <w:rPr>
          <w:b/>
          <w:lang w:val="es-ES"/>
        </w:rPr>
        <w:t>DICE</w:t>
      </w:r>
      <w:r w:rsidRPr="00694ABE">
        <w:rPr>
          <w:lang w:val="es-ES"/>
        </w:rPr>
        <w:t>:</w:t>
      </w:r>
    </w:p>
    <w:p w14:paraId="0C76B2AD" w14:textId="77777777" w:rsidR="00FA001C" w:rsidRPr="00694ABE" w:rsidRDefault="00000000" w:rsidP="00431ED5">
      <w:pPr>
        <w:jc w:val="both"/>
        <w:rPr>
          <w:lang w:val="es-ES"/>
        </w:rPr>
      </w:pPr>
      <w:r w:rsidRPr="00694ABE">
        <w:rPr>
          <w:lang w:val="es-ES"/>
        </w:rPr>
        <w:t>Que por Acuerdo de este Tribunal de 5 de octubre de 2026 se publicaron las plantillas provisionales de respuestas válidas (Tipo A-Rojo y Tipo B-Verde), concediéndose un plazo de cinco días hábiles, a contar desde el día siguiente a su publicación, para presentar alegaciones.</w:t>
      </w:r>
    </w:p>
    <w:p w14:paraId="40B147ED" w14:textId="66AB8202" w:rsidR="00FA001C" w:rsidRPr="00694ABE" w:rsidRDefault="00000000" w:rsidP="00431ED5">
      <w:pPr>
        <w:jc w:val="both"/>
        <w:rPr>
          <w:lang w:val="es-ES"/>
        </w:rPr>
      </w:pPr>
      <w:r w:rsidRPr="00694ABE">
        <w:rPr>
          <w:lang w:val="es-ES"/>
        </w:rPr>
        <w:t xml:space="preserve">Que, dentro de dicho plazo, formula las siguientes </w:t>
      </w:r>
      <w:r w:rsidRPr="00694ABE">
        <w:rPr>
          <w:b/>
          <w:lang w:val="es-ES"/>
        </w:rPr>
        <w:t>ALEGACIONES</w:t>
      </w:r>
      <w:r w:rsidRPr="00694ABE">
        <w:rPr>
          <w:lang w:val="es-ES"/>
        </w:rPr>
        <w:t xml:space="preserve">, identificando cada pregunta por su número en los dos modelos de cuadernillo. Las preguntas impugnadas tienen el mismo enunciado y las mismas opciones, en el mismo orden, en ambos modelos, por lo que cada alegación se formula para </w:t>
      </w:r>
      <w:r w:rsidR="00431ED5">
        <w:rPr>
          <w:lang w:val="es-ES"/>
        </w:rPr>
        <w:t>ambas</w:t>
      </w:r>
      <w:r w:rsidRPr="00694ABE">
        <w:rPr>
          <w:lang w:val="es-ES"/>
        </w:rPr>
        <w:t>:</w:t>
      </w:r>
    </w:p>
    <w:p w14:paraId="6C2127F6" w14:textId="77777777" w:rsidR="00FA001C" w:rsidRPr="00694ABE" w:rsidRDefault="00000000" w:rsidP="00431ED5">
      <w:pPr>
        <w:pStyle w:val="Ttulo2"/>
        <w:jc w:val="both"/>
        <w:rPr>
          <w:lang w:val="es-ES"/>
        </w:rPr>
      </w:pPr>
      <w:r w:rsidRPr="00694ABE">
        <w:rPr>
          <w:lang w:val="es-ES"/>
        </w:rPr>
        <w:t>PRIMERA. Pregunta 61 del modelo B y pregunta 10 del modelo A (primer ejercicio)</w:t>
      </w:r>
    </w:p>
    <w:p w14:paraId="4F06F28A" w14:textId="77777777" w:rsidR="00FA001C" w:rsidRPr="00694ABE" w:rsidRDefault="00000000" w:rsidP="00431ED5">
      <w:pPr>
        <w:jc w:val="both"/>
        <w:rPr>
          <w:lang w:val="es-ES"/>
        </w:rPr>
      </w:pPr>
      <w:r w:rsidRPr="00694ABE">
        <w:rPr>
          <w:b/>
          <w:lang w:val="es-ES"/>
        </w:rPr>
        <w:t>Enunciado:</w:t>
      </w:r>
      <w:r w:rsidRPr="00694ABE">
        <w:rPr>
          <w:lang w:val="es-ES"/>
        </w:rPr>
        <w:t xml:space="preserve"> «Según el artículo 6 del Tratado de Funcionamiento de la Unión Europea, ¿en qué ámbito tiene competencia de apoyo la Unión Europea?: a) Industria. b) Cultura. c) Turismo. d) Energía.»</w:t>
      </w:r>
    </w:p>
    <w:p w14:paraId="589380CE" w14:textId="77777777" w:rsidR="00FA001C" w:rsidRPr="00694ABE" w:rsidRDefault="00000000" w:rsidP="00431ED5">
      <w:pPr>
        <w:jc w:val="both"/>
        <w:rPr>
          <w:lang w:val="es-ES"/>
        </w:rPr>
      </w:pPr>
      <w:r w:rsidRPr="00694ABE">
        <w:rPr>
          <w:b/>
          <w:lang w:val="es-ES"/>
        </w:rPr>
        <w:t>Respuesta de la plantilla provisional:</w:t>
      </w:r>
      <w:r w:rsidRPr="00694ABE">
        <w:rPr>
          <w:lang w:val="es-ES"/>
        </w:rPr>
        <w:t xml:space="preserve"> D (Energía), en ambos modelos.</w:t>
      </w:r>
    </w:p>
    <w:p w14:paraId="2DC15586" w14:textId="77777777" w:rsidR="00FA001C" w:rsidRPr="00694ABE" w:rsidRDefault="00000000" w:rsidP="00431ED5">
      <w:pPr>
        <w:jc w:val="both"/>
        <w:rPr>
          <w:lang w:val="es-ES"/>
        </w:rPr>
      </w:pPr>
      <w:r w:rsidRPr="00694ABE">
        <w:rPr>
          <w:b/>
          <w:lang w:val="es-ES"/>
        </w:rPr>
        <w:t>Pretensión:</w:t>
      </w:r>
      <w:r w:rsidRPr="00694ABE">
        <w:rPr>
          <w:lang w:val="es-ES"/>
        </w:rPr>
        <w:t xml:space="preserve"> anulación de la pregunta.</w:t>
      </w:r>
    </w:p>
    <w:p w14:paraId="6CFAC4BA" w14:textId="77777777" w:rsidR="00FA001C" w:rsidRPr="00694ABE" w:rsidRDefault="00000000" w:rsidP="00431ED5">
      <w:pPr>
        <w:jc w:val="both"/>
        <w:rPr>
          <w:lang w:val="es-ES"/>
        </w:rPr>
      </w:pPr>
      <w:r w:rsidRPr="00694ABE">
        <w:rPr>
          <w:lang w:val="es-ES"/>
        </w:rPr>
        <w:t>El artículo 6 del Tratado de Funcionamiento de la Unión Europea (TFUE) dispone que la Unión dispondrá de competencia para llevar a cabo acciones con el fin de apoyar, coordinar o complementar la acción de los Estados miembros, y enumera como ámbitos de dichas acciones: «a) la protección y mejora de la salud humana; b) la industria; c) la cultura; d) el turismo; e) la educación, la formación profesional, la juventud y el deporte; f) la protección civil; g) la cooperación administrativa».</w:t>
      </w:r>
    </w:p>
    <w:p w14:paraId="6B5A059C" w14:textId="77777777" w:rsidR="00FA001C" w:rsidRPr="00694ABE" w:rsidRDefault="00000000" w:rsidP="00431ED5">
      <w:pPr>
        <w:jc w:val="both"/>
        <w:rPr>
          <w:lang w:val="es-ES"/>
        </w:rPr>
      </w:pPr>
      <w:r w:rsidRPr="00694ABE">
        <w:rPr>
          <w:lang w:val="es-ES"/>
        </w:rPr>
        <w:t>Por tanto, las opciones a) Industria, b) Cultura y c) Turismo son, las tres, ámbitos de competencia de apoyo expresamente recogidos en el precepto que el propio enunciado invoca.</w:t>
      </w:r>
    </w:p>
    <w:p w14:paraId="77961D0B" w14:textId="77777777" w:rsidR="00FA001C" w:rsidRPr="00694ABE" w:rsidRDefault="00000000" w:rsidP="00431ED5">
      <w:pPr>
        <w:jc w:val="both"/>
        <w:rPr>
          <w:lang w:val="es-ES"/>
        </w:rPr>
      </w:pPr>
      <w:r w:rsidRPr="00694ABE">
        <w:rPr>
          <w:lang w:val="es-ES"/>
        </w:rPr>
        <w:t xml:space="preserve">La opción d) Energía, que la plantilla provisional considera correcta, no figura en el artículo 6 TFUE. La energía es un ámbito de </w:t>
      </w:r>
      <w:r w:rsidRPr="00694ABE">
        <w:rPr>
          <w:b/>
          <w:lang w:val="es-ES"/>
        </w:rPr>
        <w:t>competencia compartida</w:t>
      </w:r>
      <w:r w:rsidRPr="00694ABE">
        <w:rPr>
          <w:lang w:val="es-ES"/>
        </w:rPr>
        <w:t xml:space="preserve"> entre la Unión y los Estados miembros, conforme al artículo 4.2.i) TFUE, y su régimen se desarrolla en el artículo 194 TFUE.</w:t>
      </w:r>
    </w:p>
    <w:p w14:paraId="54E51413" w14:textId="77777777" w:rsidR="00FA001C" w:rsidRPr="00694ABE" w:rsidRDefault="00000000" w:rsidP="00431ED5">
      <w:pPr>
        <w:jc w:val="both"/>
        <w:rPr>
          <w:lang w:val="es-ES"/>
        </w:rPr>
      </w:pPr>
      <w:r w:rsidRPr="00694ABE">
        <w:rPr>
          <w:lang w:val="es-ES"/>
        </w:rPr>
        <w:t xml:space="preserve">En consecuencia, la pregunta incurre en un error patente y doble: la respuesta que se da por válida es jurídicamente incorrecta y, a la vez, existen tres opciones correctas. No es posible sustituir la respuesta por otra sin vulnerar el sistema de respuesta única de la prueba, por lo que procede su </w:t>
      </w:r>
      <w:r w:rsidRPr="00694ABE">
        <w:rPr>
          <w:b/>
          <w:lang w:val="es-ES"/>
        </w:rPr>
        <w:t>anulación</w:t>
      </w:r>
      <w:r w:rsidRPr="00694ABE">
        <w:rPr>
          <w:lang w:val="es-ES"/>
        </w:rPr>
        <w:t xml:space="preserve"> y su sustitución por la pregunta de reserva que corresponda, conforme a lo previsto en el apartado 1.1 del Anexo IV de la Orden de convocatoria.</w:t>
      </w:r>
    </w:p>
    <w:p w14:paraId="733FF816" w14:textId="77777777" w:rsidR="00FA001C" w:rsidRPr="00694ABE" w:rsidRDefault="00000000" w:rsidP="00431ED5">
      <w:pPr>
        <w:pStyle w:val="Ttulo2"/>
        <w:jc w:val="both"/>
        <w:rPr>
          <w:lang w:val="es-ES"/>
        </w:rPr>
      </w:pPr>
      <w:r w:rsidRPr="00694ABE">
        <w:rPr>
          <w:lang w:val="es-ES"/>
        </w:rPr>
        <w:lastRenderedPageBreak/>
        <w:t>SEGUNDA. Pregunta 122 del modelo B y pregunta 129 del modelo A (tercer ejercicio)</w:t>
      </w:r>
    </w:p>
    <w:p w14:paraId="781D665D" w14:textId="77777777" w:rsidR="00FA001C" w:rsidRPr="00694ABE" w:rsidRDefault="00000000" w:rsidP="00431ED5">
      <w:pPr>
        <w:jc w:val="both"/>
        <w:rPr>
          <w:lang w:val="es-ES"/>
        </w:rPr>
      </w:pPr>
      <w:r w:rsidRPr="00694ABE">
        <w:rPr>
          <w:b/>
          <w:lang w:val="es-ES"/>
        </w:rPr>
        <w:t>Enunciado:</w:t>
      </w:r>
      <w:r w:rsidRPr="00694ABE">
        <w:rPr>
          <w:lang w:val="es-ES"/>
        </w:rPr>
        <w:t xml:space="preserve"> «Para mostrar todo el documento (títulos, subtítulos y textos) en Microsoft Windows 10 pulsaremos: a) </w:t>
      </w:r>
      <w:proofErr w:type="spellStart"/>
      <w:r w:rsidRPr="00694ABE">
        <w:rPr>
          <w:lang w:val="es-ES"/>
        </w:rPr>
        <w:t>AltMayús</w:t>
      </w:r>
      <w:proofErr w:type="spellEnd"/>
      <w:r w:rsidRPr="00694ABE">
        <w:rPr>
          <w:lang w:val="es-ES"/>
        </w:rPr>
        <w:t xml:space="preserve"> M. b) </w:t>
      </w:r>
      <w:proofErr w:type="spellStart"/>
      <w:r w:rsidRPr="00694ABE">
        <w:rPr>
          <w:lang w:val="es-ES"/>
        </w:rPr>
        <w:t>AltMayús</w:t>
      </w:r>
      <w:proofErr w:type="spellEnd"/>
      <w:r w:rsidRPr="00694ABE">
        <w:rPr>
          <w:lang w:val="es-ES"/>
        </w:rPr>
        <w:t xml:space="preserve"> P. c) </w:t>
      </w:r>
      <w:proofErr w:type="spellStart"/>
      <w:r w:rsidRPr="00694ABE">
        <w:rPr>
          <w:lang w:val="es-ES"/>
        </w:rPr>
        <w:t>AltMayús</w:t>
      </w:r>
      <w:proofErr w:type="spellEnd"/>
      <w:r w:rsidRPr="00694ABE">
        <w:rPr>
          <w:lang w:val="es-ES"/>
        </w:rPr>
        <w:t xml:space="preserve"> R. d) </w:t>
      </w:r>
      <w:proofErr w:type="spellStart"/>
      <w:r w:rsidRPr="00694ABE">
        <w:rPr>
          <w:lang w:val="es-ES"/>
        </w:rPr>
        <w:t>AltMayús</w:t>
      </w:r>
      <w:proofErr w:type="spellEnd"/>
      <w:r w:rsidRPr="00694ABE">
        <w:rPr>
          <w:lang w:val="es-ES"/>
        </w:rPr>
        <w:t xml:space="preserve"> T.»</w:t>
      </w:r>
    </w:p>
    <w:p w14:paraId="1AED0017" w14:textId="77777777" w:rsidR="00FA001C" w:rsidRPr="00694ABE" w:rsidRDefault="00000000" w:rsidP="00431ED5">
      <w:pPr>
        <w:jc w:val="both"/>
        <w:rPr>
          <w:lang w:val="es-ES"/>
        </w:rPr>
      </w:pPr>
      <w:r w:rsidRPr="00694ABE">
        <w:rPr>
          <w:b/>
          <w:lang w:val="es-ES"/>
        </w:rPr>
        <w:t>Respuesta de la plantilla provisional:</w:t>
      </w:r>
      <w:r w:rsidRPr="00694ABE">
        <w:rPr>
          <w:lang w:val="es-ES"/>
        </w:rPr>
        <w:t xml:space="preserve"> D (</w:t>
      </w:r>
      <w:proofErr w:type="spellStart"/>
      <w:r w:rsidRPr="00694ABE">
        <w:rPr>
          <w:lang w:val="es-ES"/>
        </w:rPr>
        <w:t>AltMayús</w:t>
      </w:r>
      <w:proofErr w:type="spellEnd"/>
      <w:r w:rsidRPr="00694ABE">
        <w:rPr>
          <w:lang w:val="es-ES"/>
        </w:rPr>
        <w:t xml:space="preserve"> T), en ambos modelos.</w:t>
      </w:r>
    </w:p>
    <w:p w14:paraId="1129210A" w14:textId="77777777" w:rsidR="00FA001C" w:rsidRPr="00694ABE" w:rsidRDefault="00000000" w:rsidP="00431ED5">
      <w:pPr>
        <w:jc w:val="both"/>
        <w:rPr>
          <w:lang w:val="es-ES"/>
        </w:rPr>
      </w:pPr>
      <w:r w:rsidRPr="00694ABE">
        <w:rPr>
          <w:b/>
          <w:lang w:val="es-ES"/>
        </w:rPr>
        <w:t>Pretensión:</w:t>
      </w:r>
      <w:r w:rsidRPr="00694ABE">
        <w:rPr>
          <w:lang w:val="es-ES"/>
        </w:rPr>
        <w:t xml:space="preserve"> anulación de la pregunta.</w:t>
      </w:r>
    </w:p>
    <w:p w14:paraId="71E53653" w14:textId="77777777" w:rsidR="00FA001C" w:rsidRPr="00694ABE" w:rsidRDefault="00000000" w:rsidP="00431ED5">
      <w:pPr>
        <w:jc w:val="both"/>
        <w:rPr>
          <w:lang w:val="es-ES"/>
        </w:rPr>
      </w:pPr>
      <w:r w:rsidRPr="00694ABE">
        <w:rPr>
          <w:b/>
          <w:lang w:val="es-ES"/>
        </w:rPr>
        <w:t>1. Error en el enunciado.</w:t>
      </w:r>
      <w:r w:rsidRPr="00694ABE">
        <w:rPr>
          <w:lang w:val="es-ES"/>
        </w:rPr>
        <w:t xml:space="preserve"> La pregunta atribuye al sistema operativo Microsoft Windows 10 una función que no le corresponde. Mostrar los títulos, subtítulos y el texto de un documento es una función del procesador de textos Microsoft Word (vista Esquema), no del sistema operativo. Windows 10 no tiene asignada ninguna combinación de teclas con ese cometido, por lo que, tal y como está formulada, la pregunta carece de respuesta correcta.</w:t>
      </w:r>
    </w:p>
    <w:p w14:paraId="0162091D" w14:textId="77777777" w:rsidR="00FA001C" w:rsidRPr="00694ABE" w:rsidRDefault="00000000" w:rsidP="00431ED5">
      <w:pPr>
        <w:jc w:val="both"/>
        <w:rPr>
          <w:lang w:val="es-ES"/>
        </w:rPr>
      </w:pPr>
      <w:r w:rsidRPr="00694ABE">
        <w:rPr>
          <w:b/>
          <w:lang w:val="es-ES"/>
        </w:rPr>
        <w:t>2. Ninguna opción coincide con la documentación de Microsoft.</w:t>
      </w:r>
      <w:r w:rsidRPr="00694ABE">
        <w:rPr>
          <w:lang w:val="es-ES"/>
        </w:rPr>
        <w:t xml:space="preserve"> Aun entendiendo que la pregunta se refiere a Microsoft Word, la combinación de teclas que Microsoft documenta para «expandir o contraer todo el texto o los títulos» en la vista Esquema es </w:t>
      </w:r>
      <w:proofErr w:type="spellStart"/>
      <w:r w:rsidRPr="00694ABE">
        <w:rPr>
          <w:b/>
          <w:lang w:val="es-ES"/>
        </w:rPr>
        <w:t>Alt+Mayús+A</w:t>
      </w:r>
      <w:proofErr w:type="spellEnd"/>
      <w:r w:rsidRPr="00694ABE">
        <w:rPr>
          <w:lang w:val="es-ES"/>
        </w:rPr>
        <w:t xml:space="preserve">, mientras que Alt+Mayús+1 a </w:t>
      </w:r>
      <w:proofErr w:type="spellStart"/>
      <w:r w:rsidRPr="00694ABE">
        <w:rPr>
          <w:lang w:val="es-ES"/>
        </w:rPr>
        <w:t>Alt+Mayús+n</w:t>
      </w:r>
      <w:proofErr w:type="spellEnd"/>
      <w:r w:rsidRPr="00694ABE">
        <w:rPr>
          <w:lang w:val="es-ES"/>
        </w:rPr>
        <w:t xml:space="preserve"> muestran los títulos hasta el nivel indicado y </w:t>
      </w:r>
      <w:proofErr w:type="spellStart"/>
      <w:r w:rsidRPr="00694ABE">
        <w:rPr>
          <w:lang w:val="es-ES"/>
        </w:rPr>
        <w:t>Alt+Mayús+L</w:t>
      </w:r>
      <w:proofErr w:type="spellEnd"/>
      <w:r w:rsidRPr="00694ABE">
        <w:rPr>
          <w:lang w:val="es-ES"/>
        </w:rPr>
        <w:t xml:space="preserve"> muestra solo la primera línea del texto. La combinación </w:t>
      </w:r>
      <w:proofErr w:type="spellStart"/>
      <w:r w:rsidRPr="00694ABE">
        <w:rPr>
          <w:lang w:val="es-ES"/>
        </w:rPr>
        <w:t>Alt+Mayús+T</w:t>
      </w:r>
      <w:proofErr w:type="spellEnd"/>
      <w:r w:rsidRPr="00694ABE">
        <w:rPr>
          <w:lang w:val="es-ES"/>
        </w:rPr>
        <w:t xml:space="preserve"> no tiene atribuida en la documentación de Microsoft la función de mostrar todo el documento. Las combinaciones de las opciones a), b) y c) tienen asignadas funciones distintas (en la relación de métodos abreviados de Word: modificar un documento de datos, insertar un campo de página y obtener una vista previa de una combinación, respectivamente).</w:t>
      </w:r>
    </w:p>
    <w:p w14:paraId="290453DC" w14:textId="77777777" w:rsidR="00FA001C" w:rsidRPr="00694ABE" w:rsidRDefault="00000000" w:rsidP="00431ED5">
      <w:pPr>
        <w:jc w:val="both"/>
        <w:rPr>
          <w:lang w:val="es-ES"/>
        </w:rPr>
      </w:pPr>
      <w:r w:rsidRPr="00694ABE">
        <w:rPr>
          <w:lang w:val="es-ES"/>
        </w:rPr>
        <w:t xml:space="preserve">Ninguna de las cuatro opciones es, por tanto, correcta. La pregunta contiene un error en el enunciado y no ofrece una respuesta válida, lo que exige su </w:t>
      </w:r>
      <w:r w:rsidRPr="00694ABE">
        <w:rPr>
          <w:b/>
          <w:lang w:val="es-ES"/>
        </w:rPr>
        <w:t>anulación</w:t>
      </w:r>
      <w:r w:rsidRPr="00694ABE">
        <w:rPr>
          <w:lang w:val="es-ES"/>
        </w:rPr>
        <w:t xml:space="preserve"> y su sustitución por la pregunta de reserva correspondiente, conforme al apartado 1.3 del Anexo IV de la Orden de convocatoria.</w:t>
      </w:r>
    </w:p>
    <w:p w14:paraId="2611ECDA" w14:textId="77777777" w:rsidR="00FA001C" w:rsidRPr="00694ABE" w:rsidRDefault="00000000" w:rsidP="00431ED5">
      <w:pPr>
        <w:pStyle w:val="Ttulo2"/>
        <w:jc w:val="both"/>
        <w:rPr>
          <w:lang w:val="es-ES"/>
        </w:rPr>
      </w:pPr>
      <w:r w:rsidRPr="00694ABE">
        <w:rPr>
          <w:lang w:val="es-ES"/>
        </w:rPr>
        <w:t>TERCERA. Pregunta 130 del modelo B y pregunta 117 del modelo A (tercer ejercicio)</w:t>
      </w:r>
    </w:p>
    <w:p w14:paraId="18B82294" w14:textId="77777777" w:rsidR="00FA001C" w:rsidRPr="00694ABE" w:rsidRDefault="00000000" w:rsidP="00431ED5">
      <w:pPr>
        <w:jc w:val="both"/>
        <w:rPr>
          <w:lang w:val="es-ES"/>
        </w:rPr>
      </w:pPr>
      <w:r w:rsidRPr="00694ABE">
        <w:rPr>
          <w:b/>
          <w:lang w:val="es-ES"/>
        </w:rPr>
        <w:t>Enunciado:</w:t>
      </w:r>
      <w:r w:rsidRPr="00694ABE">
        <w:rPr>
          <w:lang w:val="es-ES"/>
        </w:rPr>
        <w:t xml:space="preserve"> «¿Qué combinación de teclas usaría para aplicar el formato superíndice?: a) </w:t>
      </w:r>
      <w:proofErr w:type="spellStart"/>
      <w:r w:rsidRPr="00694ABE">
        <w:rPr>
          <w:lang w:val="es-ES"/>
        </w:rPr>
        <w:t>Ctrl</w:t>
      </w:r>
      <w:proofErr w:type="spellEnd"/>
      <w:r w:rsidRPr="00694ABE">
        <w:rPr>
          <w:lang w:val="es-ES"/>
        </w:rPr>
        <w:t xml:space="preserve"> =. b) </w:t>
      </w:r>
      <w:proofErr w:type="spellStart"/>
      <w:r w:rsidRPr="00694ABE">
        <w:rPr>
          <w:lang w:val="es-ES"/>
        </w:rPr>
        <w:t>Ctrl</w:t>
      </w:r>
      <w:proofErr w:type="spellEnd"/>
      <w:r w:rsidRPr="00694ABE">
        <w:rPr>
          <w:lang w:val="es-ES"/>
        </w:rPr>
        <w:t xml:space="preserve"> +. c) </w:t>
      </w:r>
      <w:proofErr w:type="spellStart"/>
      <w:r w:rsidRPr="00694ABE">
        <w:rPr>
          <w:lang w:val="es-ES"/>
        </w:rPr>
        <w:t>CtrlMayús</w:t>
      </w:r>
      <w:proofErr w:type="spellEnd"/>
      <w:r w:rsidRPr="00694ABE">
        <w:rPr>
          <w:lang w:val="es-ES"/>
        </w:rPr>
        <w:t xml:space="preserve"> -. d) </w:t>
      </w:r>
      <w:proofErr w:type="spellStart"/>
      <w:r w:rsidRPr="00694ABE">
        <w:rPr>
          <w:lang w:val="es-ES"/>
        </w:rPr>
        <w:t>CtrlMayús</w:t>
      </w:r>
      <w:proofErr w:type="spellEnd"/>
      <w:r w:rsidRPr="00694ABE">
        <w:rPr>
          <w:lang w:val="es-ES"/>
        </w:rPr>
        <w:t xml:space="preserve"> *.»</w:t>
      </w:r>
    </w:p>
    <w:p w14:paraId="6B134C83" w14:textId="77777777" w:rsidR="00FA001C" w:rsidRPr="00694ABE" w:rsidRDefault="00000000" w:rsidP="00431ED5">
      <w:pPr>
        <w:jc w:val="both"/>
        <w:rPr>
          <w:lang w:val="es-ES"/>
        </w:rPr>
      </w:pPr>
      <w:r w:rsidRPr="00694ABE">
        <w:rPr>
          <w:b/>
          <w:lang w:val="es-ES"/>
        </w:rPr>
        <w:t>Respuesta de la plantilla provisional:</w:t>
      </w:r>
      <w:r w:rsidRPr="00694ABE">
        <w:rPr>
          <w:lang w:val="es-ES"/>
        </w:rPr>
        <w:t xml:space="preserve"> B (</w:t>
      </w:r>
      <w:proofErr w:type="spellStart"/>
      <w:r w:rsidRPr="00694ABE">
        <w:rPr>
          <w:lang w:val="es-ES"/>
        </w:rPr>
        <w:t>Ctrl</w:t>
      </w:r>
      <w:proofErr w:type="spellEnd"/>
      <w:r w:rsidRPr="00694ABE">
        <w:rPr>
          <w:lang w:val="es-ES"/>
        </w:rPr>
        <w:t xml:space="preserve"> +), en ambos modelos.</w:t>
      </w:r>
    </w:p>
    <w:p w14:paraId="5E6B1D62" w14:textId="77777777" w:rsidR="00FA001C" w:rsidRPr="00694ABE" w:rsidRDefault="00000000" w:rsidP="00431ED5">
      <w:pPr>
        <w:jc w:val="both"/>
        <w:rPr>
          <w:lang w:val="es-ES"/>
        </w:rPr>
      </w:pPr>
      <w:r w:rsidRPr="00694ABE">
        <w:rPr>
          <w:b/>
          <w:lang w:val="es-ES"/>
        </w:rPr>
        <w:t>Pretensión:</w:t>
      </w:r>
      <w:r w:rsidRPr="00694ABE">
        <w:rPr>
          <w:lang w:val="es-ES"/>
        </w:rPr>
        <w:t xml:space="preserve"> anulación de la pregunta.</w:t>
      </w:r>
    </w:p>
    <w:p w14:paraId="4E532E50" w14:textId="77777777" w:rsidR="00FA001C" w:rsidRPr="00694ABE" w:rsidRDefault="00000000" w:rsidP="00431ED5">
      <w:pPr>
        <w:jc w:val="both"/>
        <w:rPr>
          <w:lang w:val="es-ES"/>
        </w:rPr>
      </w:pPr>
      <w:r w:rsidRPr="00694ABE">
        <w:rPr>
          <w:lang w:val="es-ES"/>
        </w:rPr>
        <w:t xml:space="preserve">El temario del tercer ejercicio se refiere a Microsoft Word 365. La documentación oficial de Microsoft en español para Word para Microsoft 365 («Aplicar formato de superíndice o subíndice al texto en Word») indica literalmente: «Para el superíndice, presione </w:t>
      </w:r>
      <w:proofErr w:type="spellStart"/>
      <w:r w:rsidRPr="00694ABE">
        <w:rPr>
          <w:b/>
          <w:lang w:val="es-ES"/>
        </w:rPr>
        <w:t>Ctrl</w:t>
      </w:r>
      <w:proofErr w:type="spellEnd"/>
      <w:r w:rsidRPr="00694ABE">
        <w:rPr>
          <w:b/>
          <w:lang w:val="es-ES"/>
        </w:rPr>
        <w:t>, MAYÚS y el signo más (+)</w:t>
      </w:r>
      <w:r w:rsidRPr="00694ABE">
        <w:rPr>
          <w:lang w:val="es-ES"/>
        </w:rPr>
        <w:t xml:space="preserve"> al mismo tiempo. Para el subíndice, presione </w:t>
      </w:r>
      <w:proofErr w:type="spellStart"/>
      <w:r w:rsidRPr="00694ABE">
        <w:rPr>
          <w:lang w:val="es-ES"/>
        </w:rPr>
        <w:t>Ctrl</w:t>
      </w:r>
      <w:proofErr w:type="spellEnd"/>
      <w:r w:rsidRPr="00694ABE">
        <w:rPr>
          <w:lang w:val="es-ES"/>
        </w:rPr>
        <w:t xml:space="preserve">, </w:t>
      </w:r>
      <w:proofErr w:type="spellStart"/>
      <w:r w:rsidRPr="00694ABE">
        <w:rPr>
          <w:lang w:val="es-ES"/>
        </w:rPr>
        <w:t>Mayús</w:t>
      </w:r>
      <w:proofErr w:type="spellEnd"/>
      <w:r w:rsidRPr="00694ABE">
        <w:rPr>
          <w:lang w:val="es-ES"/>
        </w:rPr>
        <w:t xml:space="preserve"> y el signo menos (-) al mismo tiempo».</w:t>
      </w:r>
    </w:p>
    <w:p w14:paraId="68249A9C" w14:textId="77777777" w:rsidR="00FA001C" w:rsidRPr="00694ABE" w:rsidRDefault="00000000" w:rsidP="00431ED5">
      <w:pPr>
        <w:jc w:val="both"/>
        <w:rPr>
          <w:lang w:val="es-ES"/>
        </w:rPr>
      </w:pPr>
      <w:r w:rsidRPr="00694ABE">
        <w:rPr>
          <w:lang w:val="es-ES"/>
        </w:rPr>
        <w:t xml:space="preserve">La combinación oficial para el superíndice exige, por tanto, tres teclas: </w:t>
      </w:r>
      <w:proofErr w:type="spellStart"/>
      <w:r w:rsidRPr="00694ABE">
        <w:rPr>
          <w:lang w:val="es-ES"/>
        </w:rPr>
        <w:t>Ctrl</w:t>
      </w:r>
      <w:proofErr w:type="spellEnd"/>
      <w:r w:rsidRPr="00694ABE">
        <w:rPr>
          <w:lang w:val="es-ES"/>
        </w:rPr>
        <w:t xml:space="preserve">, </w:t>
      </w:r>
      <w:proofErr w:type="spellStart"/>
      <w:r w:rsidRPr="00694ABE">
        <w:rPr>
          <w:lang w:val="es-ES"/>
        </w:rPr>
        <w:t>Mayús</w:t>
      </w:r>
      <w:proofErr w:type="spellEnd"/>
      <w:r w:rsidRPr="00694ABE">
        <w:rPr>
          <w:lang w:val="es-ES"/>
        </w:rPr>
        <w:t xml:space="preserve"> y el signo más. La opción b) que la plantilla da por correcta («</w:t>
      </w:r>
      <w:proofErr w:type="spellStart"/>
      <w:r w:rsidRPr="00694ABE">
        <w:rPr>
          <w:lang w:val="es-ES"/>
        </w:rPr>
        <w:t>Ctrl</w:t>
      </w:r>
      <w:proofErr w:type="spellEnd"/>
      <w:r w:rsidRPr="00694ABE">
        <w:rPr>
          <w:lang w:val="es-ES"/>
        </w:rPr>
        <w:t xml:space="preserve"> +») omite la tecla </w:t>
      </w:r>
      <w:proofErr w:type="spellStart"/>
      <w:r w:rsidRPr="00694ABE">
        <w:rPr>
          <w:lang w:val="es-ES"/>
        </w:rPr>
        <w:t>Mayús</w:t>
      </w:r>
      <w:proofErr w:type="spellEnd"/>
      <w:r w:rsidRPr="00694ABE">
        <w:rPr>
          <w:lang w:val="es-ES"/>
        </w:rPr>
        <w:t xml:space="preserve"> y no coincide con la combinación documentada por el fabricante. Ninguna otra opción la reproduce: la opción c) («</w:t>
      </w:r>
      <w:proofErr w:type="spellStart"/>
      <w:r w:rsidRPr="00694ABE">
        <w:rPr>
          <w:lang w:val="es-ES"/>
        </w:rPr>
        <w:t>CtrlMayús</w:t>
      </w:r>
      <w:proofErr w:type="spellEnd"/>
      <w:r w:rsidRPr="00694ABE">
        <w:rPr>
          <w:lang w:val="es-ES"/>
        </w:rPr>
        <w:t xml:space="preserve"> -») corresponde, según esa misma fuente, al formato subíndice, que no es lo que se pregunta.</w:t>
      </w:r>
    </w:p>
    <w:p w14:paraId="5F4C53EC" w14:textId="77777777" w:rsidR="00FA001C" w:rsidRPr="00694ABE" w:rsidRDefault="00000000" w:rsidP="00431ED5">
      <w:pPr>
        <w:jc w:val="both"/>
        <w:rPr>
          <w:lang w:val="es-ES"/>
        </w:rPr>
      </w:pPr>
      <w:r w:rsidRPr="00694ABE">
        <w:rPr>
          <w:lang w:val="es-ES"/>
        </w:rPr>
        <w:t xml:space="preserve">La pregunta no ofrece, pues, ninguna opción que se corresponda con la respuesta oficial, y obliga al aspirante a elegir entre combinaciones incompletas o erróneas, con la consiguiente inseguridad y falta </w:t>
      </w:r>
      <w:r w:rsidRPr="00694ABE">
        <w:rPr>
          <w:lang w:val="es-ES"/>
        </w:rPr>
        <w:lastRenderedPageBreak/>
        <w:t xml:space="preserve">de objetividad en la valoración. Procede su </w:t>
      </w:r>
      <w:r w:rsidRPr="00694ABE">
        <w:rPr>
          <w:b/>
          <w:lang w:val="es-ES"/>
        </w:rPr>
        <w:t>anulación</w:t>
      </w:r>
      <w:r w:rsidRPr="00694ABE">
        <w:rPr>
          <w:lang w:val="es-ES"/>
        </w:rPr>
        <w:t xml:space="preserve"> y su sustitución por la pregunta de reserva correspondiente, conforme al apartado 1.3 del Anexo IV de la Orden de convocatoria.</w:t>
      </w:r>
    </w:p>
    <w:p w14:paraId="0E3C6B3D" w14:textId="77777777" w:rsidR="00FA001C" w:rsidRPr="00694ABE" w:rsidRDefault="00000000" w:rsidP="00431ED5">
      <w:pPr>
        <w:pStyle w:val="Ttulo2"/>
        <w:jc w:val="both"/>
        <w:rPr>
          <w:lang w:val="es-ES"/>
        </w:rPr>
      </w:pPr>
      <w:r w:rsidRPr="00694ABE">
        <w:rPr>
          <w:lang w:val="es-ES"/>
        </w:rPr>
        <w:t>CUARTA (subsidiaria). Pregunta 62 del modelo B y pregunta 11 del modelo A (primer ejercicio)</w:t>
      </w:r>
    </w:p>
    <w:p w14:paraId="3EEAC938" w14:textId="77777777" w:rsidR="00FA001C" w:rsidRPr="00694ABE" w:rsidRDefault="00000000" w:rsidP="00431ED5">
      <w:pPr>
        <w:jc w:val="both"/>
        <w:rPr>
          <w:lang w:val="es-ES"/>
        </w:rPr>
      </w:pPr>
      <w:r w:rsidRPr="00694ABE">
        <w:rPr>
          <w:b/>
          <w:lang w:val="es-ES"/>
        </w:rPr>
        <w:t>Enunciado:</w:t>
      </w:r>
      <w:r w:rsidRPr="00694ABE">
        <w:rPr>
          <w:lang w:val="es-ES"/>
        </w:rPr>
        <w:t xml:space="preserve"> «La Unión Europea no tiene competencias compartidas en materia de: a) La política social. b) La política pesquera común. c) Medio ambiente. d) Redes transeuropeas.»</w:t>
      </w:r>
    </w:p>
    <w:p w14:paraId="50363CD0" w14:textId="77777777" w:rsidR="00FA001C" w:rsidRPr="00694ABE" w:rsidRDefault="00000000" w:rsidP="00431ED5">
      <w:pPr>
        <w:jc w:val="both"/>
        <w:rPr>
          <w:lang w:val="es-ES"/>
        </w:rPr>
      </w:pPr>
      <w:r w:rsidRPr="00694ABE">
        <w:rPr>
          <w:b/>
          <w:lang w:val="es-ES"/>
        </w:rPr>
        <w:t>Respuesta de la plantilla provisional:</w:t>
      </w:r>
      <w:r w:rsidRPr="00694ABE">
        <w:rPr>
          <w:lang w:val="es-ES"/>
        </w:rPr>
        <w:t xml:space="preserve"> B (La política pesquera común), en ambos modelos.</w:t>
      </w:r>
    </w:p>
    <w:p w14:paraId="4BC7DEBD" w14:textId="77777777" w:rsidR="00FA001C" w:rsidRPr="00694ABE" w:rsidRDefault="00000000" w:rsidP="00431ED5">
      <w:pPr>
        <w:jc w:val="both"/>
        <w:rPr>
          <w:lang w:val="es-ES"/>
        </w:rPr>
      </w:pPr>
      <w:r w:rsidRPr="00694ABE">
        <w:rPr>
          <w:b/>
          <w:lang w:val="es-ES"/>
        </w:rPr>
        <w:t>Pretensión:</w:t>
      </w:r>
      <w:r w:rsidRPr="00694ABE">
        <w:rPr>
          <w:lang w:val="es-ES"/>
        </w:rPr>
        <w:t xml:space="preserve"> anulación de la pregunta.</w:t>
      </w:r>
    </w:p>
    <w:p w14:paraId="4DB8D712" w14:textId="77777777" w:rsidR="00FA001C" w:rsidRPr="00694ABE" w:rsidRDefault="00000000" w:rsidP="00431ED5">
      <w:pPr>
        <w:jc w:val="both"/>
        <w:rPr>
          <w:lang w:val="es-ES"/>
        </w:rPr>
      </w:pPr>
      <w:r w:rsidRPr="00694ABE">
        <w:rPr>
          <w:lang w:val="es-ES"/>
        </w:rPr>
        <w:t>El TFUE no atribuye a la Unión competencia exclusiva sobre la política pesquera común en su conjunto. El artículo 3.1.d) TFUE limita la competencia exclusiva a «la conservación de los recursos biológicos marinos dentro de la política pesquera común». Por su parte, el artículo 4.2.d) TFUE incluye entre las competencias compartidas «la agricultura y la pesca, con exclusión de la conservación de los recursos biológicos marinos», y el artículo 38 TFUE integra la pesca en el régimen de la política agrícola y pesquera común.</w:t>
      </w:r>
    </w:p>
    <w:p w14:paraId="471FA248" w14:textId="77777777" w:rsidR="00FA001C" w:rsidRPr="00694ABE" w:rsidRDefault="00000000" w:rsidP="00431ED5">
      <w:pPr>
        <w:jc w:val="both"/>
        <w:rPr>
          <w:lang w:val="es-ES"/>
        </w:rPr>
      </w:pPr>
      <w:r w:rsidRPr="00694ABE">
        <w:rPr>
          <w:lang w:val="es-ES"/>
        </w:rPr>
        <w:t xml:space="preserve">De ello resulta que la Unión </w:t>
      </w:r>
      <w:r w:rsidRPr="00694ABE">
        <w:rPr>
          <w:b/>
          <w:lang w:val="es-ES"/>
        </w:rPr>
        <w:t>sí tiene competencias compartidas en materia de política pesquera común</w:t>
      </w:r>
      <w:r w:rsidRPr="00694ABE">
        <w:rPr>
          <w:lang w:val="es-ES"/>
        </w:rPr>
        <w:t>: en todo lo que no sea la conservación de los recursos biológicos marinos. La afirmación de la opción b), tal y como está formulada en el enunciado, es por tanto inexacta.</w:t>
      </w:r>
    </w:p>
    <w:p w14:paraId="23A18EB5" w14:textId="77777777" w:rsidR="00FA001C" w:rsidRPr="00694ABE" w:rsidRDefault="00000000" w:rsidP="00431ED5">
      <w:pPr>
        <w:jc w:val="both"/>
        <w:rPr>
          <w:lang w:val="es-ES"/>
        </w:rPr>
      </w:pPr>
      <w:r w:rsidRPr="00694ABE">
        <w:rPr>
          <w:lang w:val="es-ES"/>
        </w:rPr>
        <w:t xml:space="preserve">Las demás opciones tampoco responden al enunciado, porque la política social (art. 4.2.b TFUE), el medio ambiente (art. 4.2.e TFUE) y las redes transeuropeas (art. 4.2.h TFUE) son ámbitos de competencia compartida. La pregunta carece, por tanto, de una respuesta correcta en los términos en que se formula, y procede su </w:t>
      </w:r>
      <w:r w:rsidRPr="00694ABE">
        <w:rPr>
          <w:b/>
          <w:lang w:val="es-ES"/>
        </w:rPr>
        <w:t>anulación</w:t>
      </w:r>
      <w:r w:rsidRPr="00694ABE">
        <w:rPr>
          <w:lang w:val="es-ES"/>
        </w:rPr>
        <w:t xml:space="preserve"> y su sustitución por la pregunta de reserva correspondiente, conforme al apartado 1.1 del Anexo IV de la Orden de convocatoria.</w:t>
      </w:r>
    </w:p>
    <w:p w14:paraId="07EC7479" w14:textId="77777777" w:rsidR="00FA001C" w:rsidRPr="00694ABE" w:rsidRDefault="00000000" w:rsidP="00431ED5">
      <w:pPr>
        <w:pStyle w:val="Ttulo2"/>
        <w:jc w:val="both"/>
        <w:rPr>
          <w:lang w:val="es-ES"/>
        </w:rPr>
      </w:pPr>
      <w:r w:rsidRPr="00694ABE">
        <w:rPr>
          <w:lang w:val="es-ES"/>
        </w:rPr>
        <w:t>Fundamentos de derecho y súplica</w:t>
      </w:r>
    </w:p>
    <w:p w14:paraId="153CFAB6" w14:textId="77777777" w:rsidR="00FA001C" w:rsidRPr="00694ABE" w:rsidRDefault="00000000" w:rsidP="00431ED5">
      <w:pPr>
        <w:jc w:val="both"/>
        <w:rPr>
          <w:lang w:val="es-ES"/>
        </w:rPr>
      </w:pPr>
      <w:r w:rsidRPr="00694ABE">
        <w:rPr>
          <w:b/>
          <w:lang w:val="es-ES"/>
        </w:rPr>
        <w:t>Fundamentos comunes a todas las alegaciones.</w:t>
      </w:r>
      <w:r w:rsidRPr="00694ABE">
        <w:rPr>
          <w:lang w:val="es-ES"/>
        </w:rPr>
        <w:t xml:space="preserve"> El acceso a la función pública se rige por los principios de igualdad, mérito y capacidad (arts. 23.2 y 103.3 de la Constitución). Una prueba tipo test con respuesta única solo mide mérito y capacidad si cada pregunta tiene una sola respuesta correcta, inequívoca y ajustada a la norma o a la fuente técnica de referencia.</w:t>
      </w:r>
    </w:p>
    <w:p w14:paraId="5F6AC6CC" w14:textId="3529886F" w:rsidR="00FA001C" w:rsidRPr="00694ABE" w:rsidRDefault="00000000" w:rsidP="00431ED5">
      <w:pPr>
        <w:jc w:val="both"/>
        <w:rPr>
          <w:lang w:val="es-ES"/>
        </w:rPr>
      </w:pPr>
      <w:r w:rsidRPr="00694ABE">
        <w:rPr>
          <w:lang w:val="es-ES"/>
        </w:rPr>
        <w:t>La discrecionalidad técnica de los órganos de selección no ampara el error patente. Cuando la respuesta dada por válida contradice el texto literal de la norma o la documentación oficial del fabricante</w:t>
      </w:r>
      <w:r w:rsidR="00BC00E4">
        <w:rPr>
          <w:lang w:val="es-ES"/>
        </w:rPr>
        <w:t xml:space="preserve"> o diseñador de los programas</w:t>
      </w:r>
      <w:r w:rsidRPr="00694ABE">
        <w:rPr>
          <w:lang w:val="es-ES"/>
        </w:rPr>
        <w:t>, o cuando hay varias respuestas correctas o ninguna, la corrección de la pregunta deja de ser una cuestión de apreciación técnica y pasa a ser un error objetivo y verificable, que vulnera el principio de seguridad jurídica y la interdicción de la arbitrariedad (art. 9.3 de la Constitución).</w:t>
      </w:r>
    </w:p>
    <w:p w14:paraId="1E59602B" w14:textId="22D177D2" w:rsidR="00FA001C" w:rsidRPr="00694ABE" w:rsidRDefault="00000000" w:rsidP="00431ED5">
      <w:pPr>
        <w:jc w:val="both"/>
        <w:rPr>
          <w:lang w:val="es-ES"/>
        </w:rPr>
      </w:pPr>
      <w:r w:rsidRPr="00694ABE">
        <w:rPr>
          <w:lang w:val="es-ES"/>
        </w:rPr>
        <w:t>La propia Orden de convocatoria</w:t>
      </w:r>
      <w:r w:rsidR="00431ED5">
        <w:rPr>
          <w:lang w:val="es-ES"/>
        </w:rPr>
        <w:t xml:space="preserve"> mencionada ut supra</w:t>
      </w:r>
      <w:r w:rsidRPr="00694ABE">
        <w:rPr>
          <w:lang w:val="es-ES"/>
        </w:rPr>
        <w:t>, en el apartado 1 de su Anexo IV, prevé la existencia de preguntas de reserva y dispone que, en caso de anulación, el Tribunal establecerá en el acuerdo de anulación que se puntúe la pregunta de reserva en lugar de la anulada. La anulación solicitada no altera, por tanto, el número de preguntas evaluadas ni la estructura de la prueba.</w:t>
      </w:r>
    </w:p>
    <w:p w14:paraId="65CB2637" w14:textId="77777777" w:rsidR="00FA001C" w:rsidRPr="00694ABE" w:rsidRDefault="00000000" w:rsidP="00431ED5">
      <w:pPr>
        <w:jc w:val="both"/>
        <w:rPr>
          <w:lang w:val="es-ES"/>
        </w:rPr>
      </w:pPr>
      <w:r w:rsidRPr="00694ABE">
        <w:rPr>
          <w:lang w:val="es-ES"/>
        </w:rPr>
        <w:t>En virtud de lo expuesto,</w:t>
      </w:r>
    </w:p>
    <w:p w14:paraId="3D85E898" w14:textId="77777777" w:rsidR="00FA001C" w:rsidRPr="00694ABE" w:rsidRDefault="00000000" w:rsidP="00431ED5">
      <w:pPr>
        <w:jc w:val="both"/>
        <w:rPr>
          <w:lang w:val="es-ES"/>
        </w:rPr>
      </w:pPr>
      <w:r w:rsidRPr="00694ABE">
        <w:rPr>
          <w:b/>
          <w:lang w:val="es-ES"/>
        </w:rPr>
        <w:lastRenderedPageBreak/>
        <w:t>SOLICITA</w:t>
      </w:r>
      <w:r w:rsidRPr="00694ABE">
        <w:rPr>
          <w:lang w:val="es-ES"/>
        </w:rPr>
        <w:t xml:space="preserve"> al Tribunal Calificador Único que tenga por presentado este escrito en tiempo y forma, admita las alegaciones formuladas y, en su virtud, acuerde en la plantilla definitiva de respuestas:</w:t>
      </w:r>
    </w:p>
    <w:p w14:paraId="5538D62D" w14:textId="77777777" w:rsidR="00FA001C" w:rsidRPr="00694ABE" w:rsidRDefault="00000000" w:rsidP="00431ED5">
      <w:pPr>
        <w:pStyle w:val="Prrafodelista"/>
        <w:numPr>
          <w:ilvl w:val="0"/>
          <w:numId w:val="2"/>
        </w:numPr>
        <w:jc w:val="both"/>
        <w:rPr>
          <w:lang w:val="es-ES"/>
        </w:rPr>
      </w:pPr>
      <w:r w:rsidRPr="00694ABE">
        <w:rPr>
          <w:lang w:val="es-ES"/>
        </w:rPr>
        <w:t xml:space="preserve">La anulación de la pregunta </w:t>
      </w:r>
      <w:r w:rsidRPr="00694ABE">
        <w:rPr>
          <w:b/>
          <w:lang w:val="es-ES"/>
        </w:rPr>
        <w:t>61</w:t>
      </w:r>
      <w:r w:rsidRPr="00694ABE">
        <w:rPr>
          <w:lang w:val="es-ES"/>
        </w:rPr>
        <w:t xml:space="preserve"> del modelo B y 10 del modelo A del primer ejercicio.</w:t>
      </w:r>
    </w:p>
    <w:p w14:paraId="007D56B7" w14:textId="77777777" w:rsidR="00FA001C" w:rsidRPr="00694ABE" w:rsidRDefault="00000000" w:rsidP="00431ED5">
      <w:pPr>
        <w:pStyle w:val="Prrafodelista"/>
        <w:numPr>
          <w:ilvl w:val="0"/>
          <w:numId w:val="2"/>
        </w:numPr>
        <w:jc w:val="both"/>
        <w:rPr>
          <w:lang w:val="es-ES"/>
        </w:rPr>
      </w:pPr>
      <w:r w:rsidRPr="00694ABE">
        <w:rPr>
          <w:lang w:val="es-ES"/>
        </w:rPr>
        <w:t xml:space="preserve">La anulación de la pregunta </w:t>
      </w:r>
      <w:r w:rsidRPr="00694ABE">
        <w:rPr>
          <w:b/>
          <w:lang w:val="es-ES"/>
        </w:rPr>
        <w:t>122</w:t>
      </w:r>
      <w:r w:rsidRPr="00694ABE">
        <w:rPr>
          <w:lang w:val="es-ES"/>
        </w:rPr>
        <w:t xml:space="preserve"> del modelo B y 129 del modelo A del tercer ejercicio.</w:t>
      </w:r>
    </w:p>
    <w:p w14:paraId="63746034" w14:textId="77777777" w:rsidR="00FA001C" w:rsidRPr="00694ABE" w:rsidRDefault="00000000" w:rsidP="00431ED5">
      <w:pPr>
        <w:pStyle w:val="Prrafodelista"/>
        <w:numPr>
          <w:ilvl w:val="0"/>
          <w:numId w:val="2"/>
        </w:numPr>
        <w:jc w:val="both"/>
        <w:rPr>
          <w:lang w:val="es-ES"/>
        </w:rPr>
      </w:pPr>
      <w:r w:rsidRPr="00694ABE">
        <w:rPr>
          <w:lang w:val="es-ES"/>
        </w:rPr>
        <w:t xml:space="preserve">La anulación de la pregunta </w:t>
      </w:r>
      <w:r w:rsidRPr="00694ABE">
        <w:rPr>
          <w:b/>
          <w:lang w:val="es-ES"/>
        </w:rPr>
        <w:t>130</w:t>
      </w:r>
      <w:r w:rsidRPr="00694ABE">
        <w:rPr>
          <w:lang w:val="es-ES"/>
        </w:rPr>
        <w:t xml:space="preserve"> del modelo B y 117 del modelo A del tercer ejercicio.</w:t>
      </w:r>
    </w:p>
    <w:p w14:paraId="029B8DCD" w14:textId="77777777" w:rsidR="00FA001C" w:rsidRPr="00694ABE" w:rsidRDefault="00000000" w:rsidP="00431ED5">
      <w:pPr>
        <w:pStyle w:val="Prrafodelista"/>
        <w:numPr>
          <w:ilvl w:val="0"/>
          <w:numId w:val="2"/>
        </w:numPr>
        <w:jc w:val="both"/>
        <w:rPr>
          <w:lang w:val="es-ES"/>
        </w:rPr>
      </w:pPr>
      <w:r w:rsidRPr="00694ABE">
        <w:rPr>
          <w:lang w:val="es-ES"/>
        </w:rPr>
        <w:t xml:space="preserve">Subsidiariamente, la anulación de la pregunta </w:t>
      </w:r>
      <w:r w:rsidRPr="00694ABE">
        <w:rPr>
          <w:b/>
          <w:lang w:val="es-ES"/>
        </w:rPr>
        <w:t>62</w:t>
      </w:r>
      <w:r w:rsidRPr="00694ABE">
        <w:rPr>
          <w:lang w:val="es-ES"/>
        </w:rPr>
        <w:t xml:space="preserve"> del modelo B y 11 del modelo A del primer ejercicio.</w:t>
      </w:r>
    </w:p>
    <w:p w14:paraId="249BA76C" w14:textId="77777777" w:rsidR="00FA001C" w:rsidRPr="00694ABE" w:rsidRDefault="00000000" w:rsidP="00431ED5">
      <w:pPr>
        <w:jc w:val="both"/>
        <w:rPr>
          <w:lang w:val="es-ES"/>
        </w:rPr>
      </w:pPr>
      <w:r w:rsidRPr="00694ABE">
        <w:rPr>
          <w:lang w:val="es-ES"/>
        </w:rPr>
        <w:t>En todos los casos, con su sustitución por las preguntas de reserva que correspondan, conforme al Anexo IV de la Orden PJC/1549/2025.</w:t>
      </w:r>
    </w:p>
    <w:p w14:paraId="0272ABB0" w14:textId="77777777" w:rsidR="00FA001C" w:rsidRPr="00694ABE" w:rsidRDefault="00000000" w:rsidP="00431ED5">
      <w:pPr>
        <w:jc w:val="both"/>
        <w:rPr>
          <w:lang w:val="es-ES"/>
        </w:rPr>
      </w:pPr>
      <w:r w:rsidRPr="00694ABE">
        <w:rPr>
          <w:lang w:val="es-ES"/>
        </w:rPr>
        <w:t>En [LOCALIDAD], a [FECHA].</w:t>
      </w:r>
    </w:p>
    <w:p w14:paraId="04313411" w14:textId="77777777" w:rsidR="00FA001C" w:rsidRPr="00694ABE" w:rsidRDefault="00000000" w:rsidP="00431ED5">
      <w:pPr>
        <w:jc w:val="both"/>
        <w:rPr>
          <w:lang w:val="es-ES"/>
        </w:rPr>
      </w:pPr>
      <w:r w:rsidRPr="00694ABE">
        <w:rPr>
          <w:lang w:val="es-ES"/>
        </w:rPr>
        <w:t>Fdo.: [NOMBRE Y APELLIDOS]</w:t>
      </w:r>
    </w:p>
    <w:sectPr w:rsidR="00FA001C" w:rsidRPr="00694ABE">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D102671"/>
    <w:multiLevelType w:val="hybridMultilevel"/>
    <w:tmpl w:val="11B81B34"/>
    <w:lvl w:ilvl="0" w:tplc="DB9688E2">
      <w:start w:val="1"/>
      <w:numFmt w:val="bullet"/>
      <w:lvlText w:val="•"/>
      <w:lvlJc w:val="left"/>
      <w:pPr>
        <w:ind w:left="720" w:hanging="360"/>
      </w:pPr>
    </w:lvl>
    <w:lvl w:ilvl="1" w:tplc="A93E1874">
      <w:start w:val="1"/>
      <w:numFmt w:val="bullet"/>
      <w:lvlText w:val="o"/>
      <w:lvlJc w:val="left"/>
      <w:pPr>
        <w:ind w:left="1440" w:hanging="360"/>
      </w:pPr>
    </w:lvl>
    <w:lvl w:ilvl="2" w:tplc="91F03526">
      <w:start w:val="1"/>
      <w:numFmt w:val="bullet"/>
      <w:lvlText w:val="▪"/>
      <w:lvlJc w:val="left"/>
      <w:pPr>
        <w:ind w:left="2160" w:hanging="360"/>
      </w:pPr>
    </w:lvl>
    <w:lvl w:ilvl="3" w:tplc="82FC9DF8">
      <w:start w:val="1"/>
      <w:numFmt w:val="bullet"/>
      <w:lvlText w:val="•"/>
      <w:lvlJc w:val="left"/>
      <w:pPr>
        <w:ind w:left="2880" w:hanging="360"/>
      </w:pPr>
    </w:lvl>
    <w:lvl w:ilvl="4" w:tplc="A25AE39E">
      <w:start w:val="1"/>
      <w:numFmt w:val="bullet"/>
      <w:lvlText w:val="o"/>
      <w:lvlJc w:val="left"/>
      <w:pPr>
        <w:ind w:left="3600" w:hanging="360"/>
      </w:pPr>
    </w:lvl>
    <w:lvl w:ilvl="5" w:tplc="BC8A8082">
      <w:start w:val="1"/>
      <w:numFmt w:val="bullet"/>
      <w:lvlText w:val="▪"/>
      <w:lvlJc w:val="left"/>
      <w:pPr>
        <w:ind w:left="4320" w:hanging="360"/>
      </w:pPr>
    </w:lvl>
    <w:lvl w:ilvl="6" w:tplc="8144B402">
      <w:start w:val="1"/>
      <w:numFmt w:val="bullet"/>
      <w:lvlText w:val="•"/>
      <w:lvlJc w:val="left"/>
      <w:pPr>
        <w:ind w:left="5040" w:hanging="360"/>
      </w:pPr>
    </w:lvl>
    <w:lvl w:ilvl="7" w:tplc="6002BA70">
      <w:start w:val="1"/>
      <w:numFmt w:val="bullet"/>
      <w:lvlText w:val="o"/>
      <w:lvlJc w:val="left"/>
      <w:pPr>
        <w:ind w:left="5760" w:hanging="360"/>
      </w:pPr>
    </w:lvl>
    <w:lvl w:ilvl="8" w:tplc="F8A0CBD4">
      <w:start w:val="1"/>
      <w:numFmt w:val="bullet"/>
      <w:lvlText w:val="▪"/>
      <w:lvlJc w:val="left"/>
      <w:pPr>
        <w:ind w:left="6480" w:hanging="360"/>
      </w:pPr>
    </w:lvl>
  </w:abstractNum>
  <w:abstractNum w:abstractNumId="1" w15:restartNumberingAfterBreak="0">
    <w:nsid w:val="70A7121E"/>
    <w:multiLevelType w:val="hybridMultilevel"/>
    <w:tmpl w:val="691818D2"/>
    <w:lvl w:ilvl="0" w:tplc="8EC49F94">
      <w:start w:val="1"/>
      <w:numFmt w:val="decimal"/>
      <w:lvlText w:val="%1."/>
      <w:lvlJc w:val="left"/>
      <w:pPr>
        <w:ind w:left="720" w:hanging="360"/>
      </w:pPr>
    </w:lvl>
    <w:lvl w:ilvl="1" w:tplc="8ADA6336">
      <w:start w:val="1"/>
      <w:numFmt w:val="lowerLetter"/>
      <w:lvlText w:val="%2."/>
      <w:lvlJc w:val="left"/>
      <w:pPr>
        <w:ind w:left="1440" w:hanging="360"/>
      </w:pPr>
    </w:lvl>
    <w:lvl w:ilvl="2" w:tplc="9E408DD0">
      <w:start w:val="1"/>
      <w:numFmt w:val="lowerRoman"/>
      <w:lvlText w:val="%3."/>
      <w:lvlJc w:val="left"/>
      <w:pPr>
        <w:ind w:left="2160" w:hanging="360"/>
      </w:pPr>
    </w:lvl>
    <w:lvl w:ilvl="3" w:tplc="07B865F6">
      <w:start w:val="1"/>
      <w:numFmt w:val="decimal"/>
      <w:lvlText w:val="%4."/>
      <w:lvlJc w:val="left"/>
      <w:pPr>
        <w:ind w:left="2880" w:hanging="360"/>
      </w:pPr>
    </w:lvl>
    <w:lvl w:ilvl="4" w:tplc="EDCEAD7E">
      <w:start w:val="1"/>
      <w:numFmt w:val="lowerLetter"/>
      <w:lvlText w:val="%5."/>
      <w:lvlJc w:val="left"/>
      <w:pPr>
        <w:ind w:left="3600" w:hanging="360"/>
      </w:pPr>
    </w:lvl>
    <w:lvl w:ilvl="5" w:tplc="2A94E82A">
      <w:start w:val="1"/>
      <w:numFmt w:val="lowerRoman"/>
      <w:lvlText w:val="%6."/>
      <w:lvlJc w:val="left"/>
      <w:pPr>
        <w:ind w:left="4320" w:hanging="360"/>
      </w:pPr>
    </w:lvl>
    <w:lvl w:ilvl="6" w:tplc="0FF0E1CA">
      <w:start w:val="1"/>
      <w:numFmt w:val="decimal"/>
      <w:lvlText w:val="%7."/>
      <w:lvlJc w:val="left"/>
      <w:pPr>
        <w:ind w:left="5040" w:hanging="360"/>
      </w:pPr>
    </w:lvl>
    <w:lvl w:ilvl="7" w:tplc="98381C70">
      <w:start w:val="1"/>
      <w:numFmt w:val="lowerLetter"/>
      <w:lvlText w:val="%8."/>
      <w:lvlJc w:val="left"/>
      <w:pPr>
        <w:ind w:left="5760" w:hanging="360"/>
      </w:pPr>
    </w:lvl>
    <w:lvl w:ilvl="8" w:tplc="4F5CF6AE">
      <w:start w:val="1"/>
      <w:numFmt w:val="lowerRoman"/>
      <w:lvlText w:val="%9."/>
      <w:lvlJc w:val="left"/>
      <w:pPr>
        <w:ind w:left="6480" w:hanging="360"/>
      </w:pPr>
    </w:lvl>
  </w:abstractNum>
  <w:num w:numId="1" w16cid:durableId="669018015">
    <w:abstractNumId w:val="0"/>
  </w:num>
  <w:num w:numId="2" w16cid:durableId="515264647">
    <w:abstractNumId w:val="1"/>
    <w:lvlOverride w:ilvl="0">
      <w:startOverride w:val="1"/>
    </w:lvlOverride>
  </w:num>
  <w:num w:numId="3" w16cid:durableId="17777478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A001C"/>
    <w:rsid w:val="00431ED5"/>
    <w:rsid w:val="004F4D7E"/>
    <w:rsid w:val="00694ABE"/>
    <w:rsid w:val="00BC00E4"/>
    <w:rsid w:val="00FA001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7C3AE4BF"/>
  <w15:docId w15:val="{BA571AA2-56E1-1748-AA34-C57219F99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s-ES_trad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360" w:after="120"/>
      <w:outlineLvl w:val="0"/>
    </w:pPr>
    <w:rPr>
      <w:b/>
      <w:sz w:val="32"/>
    </w:rPr>
  </w:style>
  <w:style w:type="paragraph" w:styleId="Ttulo2">
    <w:name w:val="heading 2"/>
    <w:basedOn w:val="Normal"/>
    <w:next w:val="Normal"/>
    <w:uiPriority w:val="9"/>
    <w:unhideWhenUsed/>
    <w:qFormat/>
    <w:pPr>
      <w:keepNext/>
      <w:spacing w:before="280" w:after="100"/>
      <w:outlineLvl w:val="1"/>
    </w:pPr>
    <w:rPr>
      <w:b/>
      <w:sz w:val="26"/>
    </w:rPr>
  </w:style>
  <w:style w:type="paragraph" w:styleId="Ttulo3">
    <w:name w:val="heading 3"/>
    <w:basedOn w:val="Normal"/>
    <w:next w:val="Normal"/>
    <w:uiPriority w:val="9"/>
    <w:semiHidden/>
    <w:unhideWhenUsed/>
    <w:qFormat/>
    <w:pPr>
      <w:keepNext/>
      <w:spacing w:before="240" w:after="80"/>
      <w:outlineLvl w:val="2"/>
    </w:pPr>
    <w:rPr>
      <w:b/>
      <w:sz w:val="24"/>
    </w:rPr>
  </w:style>
  <w:style w:type="paragraph" w:styleId="Ttulo4">
    <w:name w:val="heading 4"/>
    <w:basedOn w:val="Normal"/>
    <w:next w:val="Normal"/>
    <w:uiPriority w:val="9"/>
    <w:semiHidden/>
    <w:unhideWhenUsed/>
    <w:qFormat/>
    <w:pPr>
      <w:keepNext/>
      <w:outlineLvl w:val="3"/>
    </w:pPr>
    <w:rPr>
      <w:b/>
    </w:rPr>
  </w:style>
  <w:style w:type="paragraph" w:styleId="Ttulo5">
    <w:name w:val="heading 5"/>
    <w:basedOn w:val="Normal"/>
    <w:next w:val="Normal"/>
    <w:uiPriority w:val="9"/>
    <w:semiHidden/>
    <w:unhideWhenUsed/>
    <w:qFormat/>
    <w:pPr>
      <w:keepNext/>
      <w:outlineLvl w:val="4"/>
    </w:pPr>
    <w:rPr>
      <w:b/>
    </w:rPr>
  </w:style>
  <w:style w:type="paragraph" w:styleId="Ttulo6">
    <w:name w:val="heading 6"/>
    <w:basedOn w:val="Normal"/>
    <w:next w:val="Normal"/>
    <w:uiPriority w:val="9"/>
    <w:semiHidden/>
    <w:unhideWhenUsed/>
    <w:qFormat/>
    <w:pPr>
      <w:keepNext/>
      <w:outlineLvl w:val="5"/>
    </w:pPr>
    <w:rPr>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spacing w:after="80"/>
      <w:contextualSpacing/>
    </w:pPr>
    <w:rPr>
      <w:sz w:val="56"/>
    </w:rPr>
  </w:style>
  <w:style w:type="paragraph" w:styleId="Cita">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Prrafodelista">
    <w:name w:val="List Paragraph"/>
    <w:basedOn w:val="Normal"/>
    <w:qFormat/>
    <w:pPr>
      <w:ind w:left="720"/>
      <w:contextualSpacing/>
    </w:pPr>
  </w:style>
  <w:style w:type="character" w:styleId="Hipervnculo">
    <w:name w:val="Hyperlink"/>
    <w:rPr>
      <w:color w:val="0563C1"/>
      <w:u w:val="single"/>
    </w:rPr>
  </w:style>
  <w:style w:type="paragraph" w:styleId="Textocomentario">
    <w:name w:val="annotation text"/>
    <w:basedOn w:val="Normal"/>
    <w:pPr>
      <w:spacing w:line="240" w:lineRule="auto"/>
    </w:pPr>
    <w:rPr>
      <w:sz w:val="20"/>
      <w:szCs w:val="20"/>
    </w:rPr>
  </w:style>
  <w:style w:type="character" w:styleId="Refdecomentario">
    <w:name w:val="annotation reference"/>
    <w:rPr>
      <w:sz w:val="16"/>
      <w:szCs w:val="16"/>
    </w:r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1650</Words>
  <Characters>8501</Characters>
  <Application>Microsoft Office Word</Application>
  <DocSecurity>0</DocSecurity>
  <Lines>149</Lines>
  <Paragraphs>85</Paragraphs>
  <ScaleCrop>false</ScaleCrop>
  <HeadingPairs>
    <vt:vector size="2" baseType="variant">
      <vt:variant>
        <vt:lpstr>Título</vt:lpstr>
      </vt:variant>
      <vt:variant>
        <vt:i4>1</vt:i4>
      </vt:variant>
    </vt:vector>
  </HeadingPairs>
  <TitlesOfParts>
    <vt:vector size="1" baseType="lpstr">
      <vt:lpstr>Alegaciones a la plantilla provisional · Tramitación Procesal, turno libre, mode</vt:lpstr>
    </vt:vector>
  </TitlesOfParts>
  <Company/>
  <LinksUpToDate>false</LinksUpToDate>
  <CharactersWithSpaces>10066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Alegaciones a la plantilla provisional · Tramitación Procesal, turno libre, mode</dc:title>
  <dc:description>Claude Docs node/c35e31b4-ea99@23 docx-w6</dc:description>
  <cp:lastModifiedBy>Invention is the Future LLC</cp:lastModifiedBy>
  <cp:revision>25</cp:revision>
  <dcterms:created xsi:type="dcterms:W3CDTF">2026-10-07T11:29:00Z</dcterms:created>
  <dcterms:modified xsi:type="dcterms:W3CDTF">2026-10-07T11:47:00Z</dcterms:modified>
</cp:coreProperties>
</file>